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B8AD" w14:textId="77777777" w:rsidR="00C777D2" w:rsidRPr="00133D74" w:rsidRDefault="00C777D2" w:rsidP="00C777D2">
      <w:pPr>
        <w:rPr>
          <w:b/>
          <w:bCs/>
          <w:lang w:val="en-US"/>
        </w:rPr>
      </w:pPr>
      <w:r>
        <w:rPr>
          <w:b/>
          <w:bCs/>
          <w:lang w:val="en"/>
        </w:rPr>
        <w:t xml:space="preserve">Groups, </w:t>
      </w:r>
      <w:proofErr w:type="gramStart"/>
      <w:r>
        <w:rPr>
          <w:b/>
          <w:bCs/>
          <w:lang w:val="en"/>
        </w:rPr>
        <w:t>purpose</w:t>
      </w:r>
      <w:proofErr w:type="gramEnd"/>
      <w:r>
        <w:rPr>
          <w:b/>
          <w:bCs/>
          <w:lang w:val="en"/>
        </w:rPr>
        <w:t xml:space="preserve"> and composition</w:t>
      </w:r>
    </w:p>
    <w:tbl>
      <w:tblPr>
        <w:tblW w:w="0" w:type="auto"/>
        <w:tblCellMar>
          <w:left w:w="0" w:type="dxa"/>
          <w:right w:w="0" w:type="dxa"/>
        </w:tblCellMar>
        <w:tblLook w:val="04A0" w:firstRow="1" w:lastRow="0" w:firstColumn="1" w:lastColumn="0" w:noHBand="0" w:noVBand="1"/>
      </w:tblPr>
      <w:tblGrid>
        <w:gridCol w:w="2528"/>
        <w:gridCol w:w="5199"/>
        <w:gridCol w:w="3591"/>
      </w:tblGrid>
      <w:tr w:rsidR="00C777D2" w14:paraId="146B8428" w14:textId="77777777" w:rsidTr="00DD0554">
        <w:tc>
          <w:tcPr>
            <w:tcW w:w="3116"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5D35B012" w14:textId="77777777" w:rsidR="00C777D2" w:rsidRDefault="00C777D2" w:rsidP="00DD0554">
            <w:pPr>
              <w:pStyle w:val="xmsonormal"/>
              <w:spacing w:before="0" w:beforeAutospacing="0" w:after="0" w:afterAutospacing="0" w:line="252" w:lineRule="auto"/>
              <w:rPr>
                <w:i/>
                <w:iCs/>
                <w:sz w:val="20"/>
                <w:szCs w:val="20"/>
                <w:lang w:eastAsia="en-US"/>
              </w:rPr>
            </w:pPr>
            <w:r>
              <w:rPr>
                <w:i/>
                <w:iCs/>
                <w:sz w:val="20"/>
                <w:szCs w:val="20"/>
                <w:lang w:val="en" w:eastAsia="en-US"/>
              </w:rPr>
              <w:t>Group</w:t>
            </w:r>
          </w:p>
        </w:tc>
        <w:tc>
          <w:tcPr>
            <w:tcW w:w="6799"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6FB0799A" w14:textId="77777777" w:rsidR="00C777D2" w:rsidRDefault="00C777D2" w:rsidP="00DD0554">
            <w:pPr>
              <w:pStyle w:val="xmsonormal"/>
              <w:spacing w:before="0" w:beforeAutospacing="0" w:after="0" w:afterAutospacing="0" w:line="252" w:lineRule="auto"/>
              <w:rPr>
                <w:i/>
                <w:iCs/>
                <w:sz w:val="20"/>
                <w:szCs w:val="20"/>
                <w:lang w:eastAsia="en-US"/>
              </w:rPr>
            </w:pPr>
            <w:r>
              <w:rPr>
                <w:i/>
                <w:iCs/>
                <w:color w:val="FFFFFF"/>
                <w:sz w:val="20"/>
                <w:szCs w:val="20"/>
                <w:lang w:val="en" w:eastAsia="en-US"/>
              </w:rPr>
              <w:t>Purpose</w:t>
            </w:r>
          </w:p>
        </w:tc>
        <w:tc>
          <w:tcPr>
            <w:tcW w:w="439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60360BB2" w14:textId="77777777" w:rsidR="00C777D2" w:rsidRDefault="00C777D2" w:rsidP="00DD0554">
            <w:pPr>
              <w:pStyle w:val="xmsonormal"/>
              <w:spacing w:before="0" w:beforeAutospacing="0" w:after="0" w:afterAutospacing="0" w:line="252" w:lineRule="auto"/>
              <w:rPr>
                <w:i/>
                <w:iCs/>
                <w:sz w:val="20"/>
                <w:szCs w:val="20"/>
                <w:lang w:eastAsia="en-US"/>
              </w:rPr>
            </w:pPr>
            <w:r>
              <w:rPr>
                <w:i/>
                <w:iCs/>
                <w:color w:val="FFFFFF"/>
                <w:sz w:val="20"/>
                <w:szCs w:val="20"/>
                <w:lang w:val="en" w:eastAsia="en-US"/>
              </w:rPr>
              <w:t>Participants</w:t>
            </w:r>
          </w:p>
        </w:tc>
      </w:tr>
      <w:tr w:rsidR="00C777D2" w:rsidRPr="00D64438" w14:paraId="6EACDB3B" w14:textId="77777777" w:rsidTr="00DD055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9B9DC" w14:textId="77777777" w:rsidR="00C777D2" w:rsidRDefault="00C777D2" w:rsidP="00DD0554">
            <w:pPr>
              <w:pStyle w:val="xmsonormal"/>
              <w:spacing w:before="0" w:beforeAutospacing="0" w:after="0" w:afterAutospacing="0" w:line="252" w:lineRule="auto"/>
              <w:rPr>
                <w:sz w:val="20"/>
                <w:szCs w:val="20"/>
                <w:lang w:eastAsia="en-US"/>
              </w:rPr>
            </w:pPr>
            <w:r>
              <w:rPr>
                <w:sz w:val="20"/>
                <w:szCs w:val="20"/>
                <w:lang w:val="en" w:eastAsia="en-US"/>
              </w:rPr>
              <w:t>Steering committee</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1F1C2A21"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 w:eastAsia="en-US"/>
              </w:rPr>
              <w:t>The purpose of the steering committee is to be available to the working groups when they have questions or need prioritization and decisions based on a thorough presentation from the working groups. The steering committee also coordinates closely with the building department at AU.</w:t>
            </w:r>
          </w:p>
          <w:p w14:paraId="1688FB8C" w14:textId="77777777" w:rsidR="00C777D2" w:rsidRDefault="00C777D2" w:rsidP="00DD0554">
            <w:pPr>
              <w:pStyle w:val="xmsonormal"/>
              <w:spacing w:before="0" w:beforeAutospacing="0" w:after="0" w:afterAutospacing="0" w:line="252" w:lineRule="auto"/>
              <w:rPr>
                <w:sz w:val="20"/>
                <w:szCs w:val="20"/>
                <w:lang w:val="en-US" w:eastAsia="en-US"/>
              </w:rPr>
            </w:pPr>
          </w:p>
          <w:p w14:paraId="2026EF3F"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 w:eastAsia="en-US"/>
              </w:rPr>
              <w:t xml:space="preserve">In addition, the steering committee will communicate weekly to all MPE staff about progress in the working groups. </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0B4FF02"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 w:eastAsia="en-US"/>
              </w:rPr>
              <w:t xml:space="preserve">Anders Brandt (Chairman) </w:t>
            </w:r>
            <w:hyperlink r:id="rId5" w:history="1">
              <w:r>
                <w:rPr>
                  <w:rStyle w:val="Hyperlink"/>
                  <w:sz w:val="20"/>
                  <w:szCs w:val="20"/>
                  <w:lang w:val="en" w:eastAsia="en-US"/>
                </w:rPr>
                <w:t>abra@mpe.au.dk</w:t>
              </w:r>
            </w:hyperlink>
          </w:p>
          <w:p w14:paraId="0AA7AF45"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US" w:eastAsia="en-US"/>
              </w:rPr>
              <w:t xml:space="preserve">Helle Wivel </w:t>
            </w:r>
            <w:hyperlink r:id="rId6" w:history="1">
              <w:r>
                <w:rPr>
                  <w:rStyle w:val="Hyperlink"/>
                  <w:sz w:val="20"/>
                  <w:szCs w:val="20"/>
                  <w:lang w:val="en-US" w:eastAsia="en-US"/>
                </w:rPr>
                <w:t>hwi@mpe.au.dk</w:t>
              </w:r>
            </w:hyperlink>
            <w:r w:rsidRPr="00133D74">
              <w:rPr>
                <w:sz w:val="20"/>
                <w:szCs w:val="20"/>
                <w:lang w:val="en-US" w:eastAsia="en-US"/>
              </w:rPr>
              <w:t xml:space="preserve"> </w:t>
            </w:r>
          </w:p>
          <w:p w14:paraId="5DFB9EBD" w14:textId="77777777" w:rsidR="00C777D2" w:rsidRDefault="00C777D2" w:rsidP="00DD0554">
            <w:pPr>
              <w:spacing w:after="0" w:line="252" w:lineRule="auto"/>
              <w:rPr>
                <w:sz w:val="20"/>
                <w:szCs w:val="20"/>
                <w:lang w:val="en-US"/>
              </w:rPr>
            </w:pPr>
            <w:r>
              <w:rPr>
                <w:sz w:val="20"/>
                <w:szCs w:val="20"/>
                <w:lang w:val="en-US"/>
              </w:rPr>
              <w:t xml:space="preserve">Lars Bräuner </w:t>
            </w:r>
            <w:hyperlink r:id="rId7" w:history="1">
              <w:r>
                <w:rPr>
                  <w:rStyle w:val="Hyperlink"/>
                  <w:sz w:val="20"/>
                  <w:szCs w:val="20"/>
                  <w:lang w:val="en-US"/>
                </w:rPr>
                <w:t>lb@mpe.au.dk</w:t>
              </w:r>
            </w:hyperlink>
          </w:p>
          <w:p w14:paraId="1905AD1A" w14:textId="77777777" w:rsidR="00C777D2" w:rsidRDefault="00C777D2" w:rsidP="00DD0554">
            <w:pPr>
              <w:spacing w:after="0" w:line="252" w:lineRule="auto"/>
              <w:rPr>
                <w:sz w:val="20"/>
                <w:szCs w:val="20"/>
                <w:lang w:val="en-US"/>
              </w:rPr>
            </w:pPr>
            <w:r>
              <w:rPr>
                <w:sz w:val="20"/>
                <w:szCs w:val="20"/>
                <w:lang w:val="en"/>
              </w:rPr>
              <w:t xml:space="preserve">Christina Monk </w:t>
            </w:r>
            <w:hyperlink r:id="rId8" w:history="1">
              <w:r>
                <w:rPr>
                  <w:rStyle w:val="Hyperlink"/>
                  <w:sz w:val="20"/>
                  <w:szCs w:val="20"/>
                  <w:lang w:val="en"/>
                </w:rPr>
                <w:t>cmu@mpe.au.dk</w:t>
              </w:r>
            </w:hyperlink>
          </w:p>
          <w:p w14:paraId="09CE7C44"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 w:eastAsia="en-US"/>
              </w:rPr>
              <w:t xml:space="preserve">Christian Perti </w:t>
            </w:r>
            <w:hyperlink r:id="rId9" w:history="1">
              <w:r>
                <w:rPr>
                  <w:rStyle w:val="Hyperlink"/>
                  <w:sz w:val="20"/>
                  <w:szCs w:val="20"/>
                  <w:lang w:val="en" w:eastAsia="en-US"/>
                </w:rPr>
                <w:t>chpe@mpe.au.dk</w:t>
              </w:r>
            </w:hyperlink>
          </w:p>
          <w:p w14:paraId="5181EA8F" w14:textId="77777777" w:rsidR="00C777D2" w:rsidRDefault="00C777D2" w:rsidP="00DD0554">
            <w:pPr>
              <w:spacing w:after="0" w:line="252" w:lineRule="auto"/>
              <w:rPr>
                <w:sz w:val="20"/>
                <w:szCs w:val="20"/>
              </w:rPr>
            </w:pPr>
            <w:r>
              <w:rPr>
                <w:sz w:val="20"/>
                <w:szCs w:val="20"/>
              </w:rPr>
              <w:t xml:space="preserve">Peter Lykke </w:t>
            </w:r>
            <w:hyperlink r:id="rId10" w:history="1">
              <w:r>
                <w:rPr>
                  <w:rStyle w:val="Hyperlink"/>
                  <w:sz w:val="20"/>
                  <w:szCs w:val="20"/>
                </w:rPr>
                <w:t>ply@mpe.au.dk</w:t>
              </w:r>
            </w:hyperlink>
          </w:p>
          <w:p w14:paraId="00105016" w14:textId="77777777" w:rsidR="00C777D2" w:rsidRDefault="00C777D2" w:rsidP="00DD0554">
            <w:pPr>
              <w:pStyle w:val="xmsonormal"/>
              <w:spacing w:before="0" w:beforeAutospacing="0" w:after="0" w:afterAutospacing="0" w:line="252" w:lineRule="auto"/>
              <w:rPr>
                <w:sz w:val="20"/>
                <w:szCs w:val="20"/>
                <w:lang w:eastAsia="en-US"/>
              </w:rPr>
            </w:pPr>
            <w:r>
              <w:rPr>
                <w:sz w:val="20"/>
                <w:szCs w:val="20"/>
                <w:lang w:eastAsia="en-US"/>
              </w:rPr>
              <w:t xml:space="preserve">Henrik Myhre </w:t>
            </w:r>
            <w:hyperlink r:id="rId11" w:history="1">
              <w:r>
                <w:rPr>
                  <w:rStyle w:val="Hyperlink"/>
                  <w:sz w:val="20"/>
                  <w:szCs w:val="20"/>
                  <w:lang w:eastAsia="en-US"/>
                </w:rPr>
                <w:t>hmj@mpe.au.dk</w:t>
              </w:r>
            </w:hyperlink>
          </w:p>
          <w:p w14:paraId="0CDD1132" w14:textId="77777777" w:rsidR="00C777D2" w:rsidRDefault="00C777D2" w:rsidP="00DD0554">
            <w:pPr>
              <w:pStyle w:val="xmsonormal"/>
              <w:spacing w:before="0" w:beforeAutospacing="0" w:after="0" w:afterAutospacing="0" w:line="252" w:lineRule="auto"/>
              <w:rPr>
                <w:sz w:val="20"/>
                <w:szCs w:val="20"/>
                <w:lang w:eastAsia="en-US"/>
              </w:rPr>
            </w:pPr>
            <w:r>
              <w:rPr>
                <w:sz w:val="20"/>
                <w:szCs w:val="20"/>
                <w:lang w:eastAsia="en-US"/>
              </w:rPr>
              <w:t xml:space="preserve">Morten Flarup </w:t>
            </w:r>
            <w:hyperlink r:id="rId12" w:history="1">
              <w:r>
                <w:rPr>
                  <w:rStyle w:val="Hyperlink"/>
                  <w:sz w:val="20"/>
                  <w:szCs w:val="20"/>
                  <w:lang w:eastAsia="en-US"/>
                </w:rPr>
                <w:t>mfa@mpe.au.dk</w:t>
              </w:r>
            </w:hyperlink>
          </w:p>
          <w:p w14:paraId="17E95D4C" w14:textId="77777777" w:rsidR="00C777D2" w:rsidRDefault="00C777D2" w:rsidP="00DD0554">
            <w:pPr>
              <w:pStyle w:val="xmsonormal"/>
              <w:spacing w:before="0" w:beforeAutospacing="0" w:after="0" w:afterAutospacing="0" w:line="252" w:lineRule="auto"/>
              <w:rPr>
                <w:i/>
                <w:iCs/>
                <w:sz w:val="20"/>
                <w:szCs w:val="20"/>
                <w:lang w:val="en-US" w:eastAsia="en-US"/>
              </w:rPr>
            </w:pPr>
            <w:r>
              <w:rPr>
                <w:sz w:val="20"/>
                <w:szCs w:val="20"/>
                <w:lang w:val="en" w:eastAsia="en-US"/>
              </w:rPr>
              <w:t xml:space="preserve">Lily Pham </w:t>
            </w:r>
            <w:hyperlink r:id="rId13" w:history="1">
              <w:r>
                <w:rPr>
                  <w:rStyle w:val="Hyperlink"/>
                  <w:sz w:val="20"/>
                  <w:szCs w:val="20"/>
                  <w:lang w:val="en" w:eastAsia="en-US"/>
                </w:rPr>
                <w:t>lily.pham@au.dk</w:t>
              </w:r>
            </w:hyperlink>
          </w:p>
        </w:tc>
      </w:tr>
    </w:tbl>
    <w:p w14:paraId="78635E09" w14:textId="77777777" w:rsidR="00C777D2" w:rsidRDefault="00C777D2" w:rsidP="00C777D2">
      <w:pPr>
        <w:pStyle w:val="xmsonormal"/>
        <w:spacing w:before="0" w:beforeAutospacing="0" w:after="0" w:afterAutospacing="0"/>
        <w:rPr>
          <w:i/>
          <w:iCs/>
          <w:sz w:val="20"/>
          <w:szCs w:val="20"/>
          <w:lang w:val="en-US"/>
        </w:rPr>
      </w:pPr>
    </w:p>
    <w:tbl>
      <w:tblPr>
        <w:tblW w:w="0" w:type="auto"/>
        <w:tblCellMar>
          <w:left w:w="0" w:type="dxa"/>
          <w:right w:w="0" w:type="dxa"/>
        </w:tblCellMar>
        <w:tblLook w:val="04A0" w:firstRow="1" w:lastRow="0" w:firstColumn="1" w:lastColumn="0" w:noHBand="0" w:noVBand="1"/>
      </w:tblPr>
      <w:tblGrid>
        <w:gridCol w:w="2569"/>
        <w:gridCol w:w="5180"/>
        <w:gridCol w:w="3569"/>
      </w:tblGrid>
      <w:tr w:rsidR="00C777D2" w14:paraId="6DCDCB38" w14:textId="77777777" w:rsidTr="00DD0554">
        <w:tc>
          <w:tcPr>
            <w:tcW w:w="3116"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171B73C9" w14:textId="77777777" w:rsidR="00C777D2" w:rsidRDefault="00C777D2" w:rsidP="00DD0554">
            <w:pPr>
              <w:pStyle w:val="xmsonormal"/>
              <w:spacing w:before="0" w:beforeAutospacing="0" w:after="0" w:afterAutospacing="0" w:line="252" w:lineRule="auto"/>
              <w:rPr>
                <w:i/>
                <w:iCs/>
                <w:sz w:val="20"/>
                <w:szCs w:val="20"/>
                <w:lang w:eastAsia="en-US"/>
              </w:rPr>
            </w:pPr>
            <w:r>
              <w:rPr>
                <w:i/>
                <w:iCs/>
                <w:sz w:val="20"/>
                <w:szCs w:val="20"/>
                <w:lang w:val="en" w:eastAsia="en-US"/>
              </w:rPr>
              <w:t>Group</w:t>
            </w:r>
          </w:p>
        </w:tc>
        <w:tc>
          <w:tcPr>
            <w:tcW w:w="6799"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1335AAE2" w14:textId="77777777" w:rsidR="00C777D2" w:rsidRDefault="00C777D2" w:rsidP="00DD0554">
            <w:pPr>
              <w:pStyle w:val="xmsonormal"/>
              <w:spacing w:before="0" w:beforeAutospacing="0" w:after="0" w:afterAutospacing="0" w:line="252" w:lineRule="auto"/>
              <w:rPr>
                <w:i/>
                <w:iCs/>
                <w:sz w:val="20"/>
                <w:szCs w:val="20"/>
                <w:lang w:eastAsia="en-US"/>
              </w:rPr>
            </w:pPr>
            <w:r>
              <w:rPr>
                <w:i/>
                <w:iCs/>
                <w:color w:val="FFFFFF"/>
                <w:sz w:val="20"/>
                <w:szCs w:val="20"/>
                <w:lang w:val="en" w:eastAsia="en-US"/>
              </w:rPr>
              <w:t>Purpose</w:t>
            </w:r>
          </w:p>
        </w:tc>
        <w:tc>
          <w:tcPr>
            <w:tcW w:w="439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0CE950CF" w14:textId="77777777" w:rsidR="00C777D2" w:rsidRDefault="00C777D2" w:rsidP="00DD0554">
            <w:pPr>
              <w:pStyle w:val="xmsonormal"/>
              <w:spacing w:before="0" w:beforeAutospacing="0" w:after="0" w:afterAutospacing="0" w:line="252" w:lineRule="auto"/>
              <w:rPr>
                <w:i/>
                <w:iCs/>
                <w:sz w:val="20"/>
                <w:szCs w:val="20"/>
                <w:lang w:eastAsia="en-US"/>
              </w:rPr>
            </w:pPr>
            <w:r>
              <w:rPr>
                <w:i/>
                <w:iCs/>
                <w:color w:val="FFFFFF"/>
                <w:sz w:val="20"/>
                <w:szCs w:val="20"/>
                <w:lang w:val="en" w:eastAsia="en-US"/>
              </w:rPr>
              <w:t>Participants</w:t>
            </w:r>
          </w:p>
        </w:tc>
      </w:tr>
      <w:tr w:rsidR="00C777D2" w:rsidRPr="00D64438" w14:paraId="6053FDFB" w14:textId="77777777" w:rsidTr="00DD055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A2220"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 w:eastAsia="en-US"/>
              </w:rPr>
              <w:t>Working Group for Teaching and Study Environment</w:t>
            </w:r>
          </w:p>
        </w:tc>
        <w:tc>
          <w:tcPr>
            <w:tcW w:w="6799" w:type="dxa"/>
            <w:tcBorders>
              <w:top w:val="nil"/>
              <w:left w:val="nil"/>
              <w:bottom w:val="single" w:sz="8" w:space="0" w:color="auto"/>
              <w:right w:val="single" w:sz="8" w:space="0" w:color="auto"/>
            </w:tcBorders>
            <w:tcMar>
              <w:top w:w="0" w:type="dxa"/>
              <w:left w:w="108" w:type="dxa"/>
              <w:bottom w:w="0" w:type="dxa"/>
              <w:right w:w="108" w:type="dxa"/>
            </w:tcMar>
            <w:hideMark/>
          </w:tcPr>
          <w:p w14:paraId="38FBE5FD" w14:textId="77777777" w:rsidR="00C777D2" w:rsidRDefault="00C777D2" w:rsidP="00DD0554">
            <w:pPr>
              <w:spacing w:line="252" w:lineRule="auto"/>
              <w:rPr>
                <w:sz w:val="20"/>
                <w:szCs w:val="20"/>
                <w:lang w:val="en-US"/>
              </w:rPr>
            </w:pPr>
            <w:r>
              <w:rPr>
                <w:sz w:val="20"/>
                <w:szCs w:val="20"/>
                <w:lang w:val="en"/>
              </w:rPr>
              <w:t xml:space="preserve">The task of the working group is to follow up on whether classrooms and study areas work for teachers and students. During E22, the working group will collect and discus improvement proposals. </w:t>
            </w:r>
          </w:p>
        </w:tc>
        <w:tc>
          <w:tcPr>
            <w:tcW w:w="4392" w:type="dxa"/>
            <w:tcBorders>
              <w:top w:val="nil"/>
              <w:left w:val="nil"/>
              <w:bottom w:val="single" w:sz="8" w:space="0" w:color="auto"/>
              <w:right w:val="single" w:sz="8" w:space="0" w:color="auto"/>
            </w:tcBorders>
            <w:tcMar>
              <w:top w:w="0" w:type="dxa"/>
              <w:left w:w="108" w:type="dxa"/>
              <w:bottom w:w="0" w:type="dxa"/>
              <w:right w:w="108" w:type="dxa"/>
            </w:tcMar>
          </w:tcPr>
          <w:p w14:paraId="32B2F5E0" w14:textId="77777777" w:rsidR="00C777D2" w:rsidRDefault="00C777D2" w:rsidP="00DD0554">
            <w:pPr>
              <w:spacing w:after="0" w:line="252" w:lineRule="auto"/>
              <w:rPr>
                <w:sz w:val="20"/>
                <w:szCs w:val="20"/>
                <w:lang w:val="en-US"/>
              </w:rPr>
            </w:pPr>
            <w:r>
              <w:rPr>
                <w:sz w:val="20"/>
                <w:szCs w:val="20"/>
                <w:lang w:val="en"/>
              </w:rPr>
              <w:t xml:space="preserve">Lars Bräuner (Chairman) </w:t>
            </w:r>
            <w:hyperlink r:id="rId14" w:history="1">
              <w:r>
                <w:rPr>
                  <w:rStyle w:val="Hyperlink"/>
                  <w:sz w:val="20"/>
                  <w:szCs w:val="20"/>
                  <w:lang w:val="en"/>
                </w:rPr>
                <w:t>lb@mpe.au.dk</w:t>
              </w:r>
            </w:hyperlink>
          </w:p>
          <w:p w14:paraId="168F597C" w14:textId="77777777" w:rsidR="00C777D2" w:rsidRDefault="00C777D2" w:rsidP="00DD0554">
            <w:pPr>
              <w:spacing w:after="0" w:line="252" w:lineRule="auto"/>
              <w:rPr>
                <w:sz w:val="20"/>
                <w:szCs w:val="20"/>
                <w:lang w:val="en-US"/>
              </w:rPr>
            </w:pPr>
            <w:r>
              <w:rPr>
                <w:sz w:val="20"/>
                <w:szCs w:val="20"/>
                <w:lang w:val="en"/>
              </w:rPr>
              <w:t xml:space="preserve">Christina Munk (Chairman) </w:t>
            </w:r>
            <w:hyperlink r:id="rId15" w:history="1">
              <w:r>
                <w:rPr>
                  <w:rStyle w:val="Hyperlink"/>
                  <w:sz w:val="20"/>
                  <w:szCs w:val="20"/>
                  <w:lang w:val="en"/>
                </w:rPr>
                <w:t>cmu@mpe.au.dk</w:t>
              </w:r>
            </w:hyperlink>
          </w:p>
          <w:p w14:paraId="1468ABFD" w14:textId="77777777" w:rsidR="00C777D2" w:rsidRDefault="00C777D2" w:rsidP="00DD0554">
            <w:pPr>
              <w:spacing w:line="252" w:lineRule="auto"/>
              <w:rPr>
                <w:sz w:val="20"/>
                <w:szCs w:val="20"/>
                <w:lang w:val="en-US"/>
              </w:rPr>
            </w:pPr>
          </w:p>
          <w:p w14:paraId="0E9AB665" w14:textId="77777777" w:rsidR="00C777D2" w:rsidRDefault="00C777D2" w:rsidP="00DD0554">
            <w:pPr>
              <w:spacing w:line="252" w:lineRule="auto"/>
              <w:rPr>
                <w:sz w:val="20"/>
                <w:szCs w:val="20"/>
                <w:lang w:val="en-US"/>
              </w:rPr>
            </w:pPr>
            <w:r>
              <w:rPr>
                <w:sz w:val="20"/>
                <w:szCs w:val="20"/>
                <w:lang w:val="en"/>
              </w:rPr>
              <w:t>The working group will be finally constituted after the summer and will consist of both teaching staff and students.</w:t>
            </w:r>
          </w:p>
        </w:tc>
      </w:tr>
    </w:tbl>
    <w:p w14:paraId="1143765B" w14:textId="77777777" w:rsidR="00C777D2" w:rsidRDefault="00C777D2" w:rsidP="00C777D2">
      <w:pPr>
        <w:pStyle w:val="xmsonormal"/>
        <w:spacing w:before="0" w:beforeAutospacing="0" w:after="0" w:afterAutospacing="0"/>
        <w:rPr>
          <w:sz w:val="20"/>
          <w:szCs w:val="20"/>
          <w:lang w:val="en-US"/>
        </w:rPr>
      </w:pPr>
    </w:p>
    <w:tbl>
      <w:tblPr>
        <w:tblW w:w="0" w:type="auto"/>
        <w:tblCellMar>
          <w:left w:w="0" w:type="dxa"/>
          <w:right w:w="0" w:type="dxa"/>
        </w:tblCellMar>
        <w:tblLook w:val="04A0" w:firstRow="1" w:lastRow="0" w:firstColumn="1" w:lastColumn="0" w:noHBand="0" w:noVBand="1"/>
      </w:tblPr>
      <w:tblGrid>
        <w:gridCol w:w="2474"/>
        <w:gridCol w:w="5319"/>
        <w:gridCol w:w="3525"/>
      </w:tblGrid>
      <w:tr w:rsidR="00C777D2" w14:paraId="1EF2D18F" w14:textId="77777777" w:rsidTr="00DD0554">
        <w:tc>
          <w:tcPr>
            <w:tcW w:w="3116"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6420314F" w14:textId="77777777" w:rsidR="00C777D2" w:rsidRDefault="00C777D2" w:rsidP="00DD0554">
            <w:pPr>
              <w:pStyle w:val="xmsonormal"/>
              <w:spacing w:before="0" w:beforeAutospacing="0" w:after="0" w:afterAutospacing="0" w:line="252" w:lineRule="auto"/>
              <w:rPr>
                <w:i/>
                <w:iCs/>
                <w:sz w:val="20"/>
                <w:szCs w:val="20"/>
                <w:lang w:eastAsia="en-US"/>
              </w:rPr>
            </w:pPr>
            <w:r>
              <w:rPr>
                <w:i/>
                <w:iCs/>
                <w:sz w:val="20"/>
                <w:szCs w:val="20"/>
                <w:lang w:val="en" w:eastAsia="en-US"/>
              </w:rPr>
              <w:t>Group</w:t>
            </w:r>
          </w:p>
        </w:tc>
        <w:tc>
          <w:tcPr>
            <w:tcW w:w="6799"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4210A301" w14:textId="77777777" w:rsidR="00C777D2" w:rsidRDefault="00C777D2" w:rsidP="00DD0554">
            <w:pPr>
              <w:pStyle w:val="xmsonormal"/>
              <w:spacing w:before="0" w:beforeAutospacing="0" w:after="0" w:afterAutospacing="0" w:line="252" w:lineRule="auto"/>
              <w:rPr>
                <w:i/>
                <w:iCs/>
                <w:sz w:val="20"/>
                <w:szCs w:val="20"/>
                <w:lang w:eastAsia="en-US"/>
              </w:rPr>
            </w:pPr>
            <w:r>
              <w:rPr>
                <w:i/>
                <w:iCs/>
                <w:color w:val="FFFFFF"/>
                <w:sz w:val="20"/>
                <w:szCs w:val="20"/>
                <w:lang w:val="en" w:eastAsia="en-US"/>
              </w:rPr>
              <w:t>Purpose</w:t>
            </w:r>
          </w:p>
        </w:tc>
        <w:tc>
          <w:tcPr>
            <w:tcW w:w="439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134A2825" w14:textId="77777777" w:rsidR="00C777D2" w:rsidRDefault="00C777D2" w:rsidP="00DD0554">
            <w:pPr>
              <w:pStyle w:val="xmsonormal"/>
              <w:spacing w:before="0" w:beforeAutospacing="0" w:after="0" w:afterAutospacing="0" w:line="252" w:lineRule="auto"/>
              <w:rPr>
                <w:i/>
                <w:iCs/>
                <w:sz w:val="20"/>
                <w:szCs w:val="20"/>
                <w:lang w:eastAsia="en-US"/>
              </w:rPr>
            </w:pPr>
            <w:r>
              <w:rPr>
                <w:i/>
                <w:iCs/>
                <w:color w:val="FFFFFF"/>
                <w:sz w:val="20"/>
                <w:szCs w:val="20"/>
                <w:lang w:val="en" w:eastAsia="en-US"/>
              </w:rPr>
              <w:t>Participants</w:t>
            </w:r>
          </w:p>
        </w:tc>
      </w:tr>
      <w:tr w:rsidR="00C777D2" w14:paraId="46852BE9" w14:textId="77777777" w:rsidTr="00DD0554">
        <w:trPr>
          <w:trHeight w:val="1521"/>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E24AD" w14:textId="77777777" w:rsidR="00C777D2" w:rsidRDefault="00C777D2" w:rsidP="00DD0554">
            <w:pPr>
              <w:pStyle w:val="xmsonormal"/>
              <w:spacing w:before="0" w:beforeAutospacing="0" w:after="0" w:afterAutospacing="0" w:line="252" w:lineRule="auto"/>
              <w:rPr>
                <w:i/>
                <w:iCs/>
                <w:sz w:val="20"/>
                <w:szCs w:val="20"/>
                <w:lang w:eastAsia="en-US"/>
              </w:rPr>
            </w:pPr>
            <w:r>
              <w:rPr>
                <w:sz w:val="20"/>
                <w:szCs w:val="20"/>
                <w:lang w:val="en" w:eastAsia="en-US"/>
              </w:rPr>
              <w:t xml:space="preserve">Laboratory Working Group </w:t>
            </w:r>
          </w:p>
        </w:tc>
        <w:tc>
          <w:tcPr>
            <w:tcW w:w="6799" w:type="dxa"/>
            <w:tcBorders>
              <w:top w:val="nil"/>
              <w:left w:val="nil"/>
              <w:bottom w:val="single" w:sz="8" w:space="0" w:color="auto"/>
              <w:right w:val="single" w:sz="8" w:space="0" w:color="auto"/>
            </w:tcBorders>
            <w:tcMar>
              <w:top w:w="0" w:type="dxa"/>
              <w:left w:w="108" w:type="dxa"/>
              <w:bottom w:w="0" w:type="dxa"/>
              <w:right w:w="108" w:type="dxa"/>
            </w:tcMar>
          </w:tcPr>
          <w:p w14:paraId="0AB1F6DD" w14:textId="77777777" w:rsidR="00C777D2" w:rsidRDefault="00C777D2" w:rsidP="00DD0554">
            <w:pPr>
              <w:spacing w:line="252" w:lineRule="auto"/>
              <w:rPr>
                <w:sz w:val="20"/>
                <w:szCs w:val="20"/>
                <w:lang w:val="en-US"/>
              </w:rPr>
            </w:pPr>
            <w:r>
              <w:rPr>
                <w:sz w:val="20"/>
                <w:szCs w:val="20"/>
                <w:lang w:val="en"/>
              </w:rPr>
              <w:t>The task of the working group is to</w:t>
            </w:r>
          </w:p>
          <w:p w14:paraId="685832FB" w14:textId="77777777" w:rsidR="00C777D2" w:rsidRDefault="00C777D2" w:rsidP="00DD0554">
            <w:pPr>
              <w:spacing w:line="252" w:lineRule="auto"/>
              <w:rPr>
                <w:sz w:val="20"/>
                <w:szCs w:val="20"/>
                <w:lang w:val="en-US"/>
              </w:rPr>
            </w:pPr>
          </w:p>
          <w:p w14:paraId="1AA8B7F4" w14:textId="77777777" w:rsidR="00C777D2" w:rsidRDefault="00C777D2" w:rsidP="00C777D2">
            <w:pPr>
              <w:pStyle w:val="Listeafsnit"/>
              <w:numPr>
                <w:ilvl w:val="0"/>
                <w:numId w:val="1"/>
              </w:numPr>
              <w:spacing w:line="252" w:lineRule="auto"/>
              <w:rPr>
                <w:rFonts w:eastAsia="Times New Roman"/>
                <w:sz w:val="20"/>
                <w:szCs w:val="20"/>
                <w:lang w:val="en-US"/>
              </w:rPr>
            </w:pPr>
            <w:r>
              <w:rPr>
                <w:rFonts w:eastAsia="Times New Roman"/>
                <w:sz w:val="20"/>
                <w:szCs w:val="20"/>
                <w:lang w:val="en"/>
              </w:rPr>
              <w:t xml:space="preserve">Receive suggestions and requests from all stakeholders in the laboratories </w:t>
            </w:r>
          </w:p>
          <w:p w14:paraId="55A5CD47" w14:textId="77777777" w:rsidR="00C777D2" w:rsidRDefault="00C777D2" w:rsidP="00C777D2">
            <w:pPr>
              <w:pStyle w:val="Listeafsnit"/>
              <w:numPr>
                <w:ilvl w:val="0"/>
                <w:numId w:val="1"/>
              </w:numPr>
              <w:spacing w:line="252" w:lineRule="auto"/>
              <w:rPr>
                <w:rFonts w:eastAsia="Times New Roman"/>
                <w:sz w:val="20"/>
                <w:szCs w:val="20"/>
                <w:lang w:val="en-US"/>
              </w:rPr>
            </w:pPr>
            <w:r>
              <w:rPr>
                <w:rFonts w:eastAsia="Times New Roman"/>
                <w:sz w:val="20"/>
                <w:szCs w:val="20"/>
                <w:lang w:val="en"/>
              </w:rPr>
              <w:t xml:space="preserve">Inform colleagues and students about the possibilities and limitations of the laboratories </w:t>
            </w:r>
          </w:p>
          <w:p w14:paraId="54C0FB20" w14:textId="77777777" w:rsidR="00C777D2" w:rsidRDefault="00C777D2" w:rsidP="00C777D2">
            <w:pPr>
              <w:pStyle w:val="Listeafsnit"/>
              <w:numPr>
                <w:ilvl w:val="0"/>
                <w:numId w:val="1"/>
              </w:numPr>
              <w:spacing w:line="252" w:lineRule="auto"/>
              <w:rPr>
                <w:rFonts w:eastAsia="Times New Roman"/>
                <w:sz w:val="20"/>
                <w:szCs w:val="20"/>
                <w:lang w:val="en-US"/>
              </w:rPr>
            </w:pPr>
            <w:r>
              <w:rPr>
                <w:rFonts w:eastAsia="Times New Roman"/>
                <w:sz w:val="20"/>
                <w:szCs w:val="20"/>
                <w:lang w:val="en"/>
              </w:rPr>
              <w:t>Distribution of responsibilities related to the laboratories</w:t>
            </w:r>
          </w:p>
          <w:p w14:paraId="0A6EEEC4" w14:textId="77777777" w:rsidR="00C777D2" w:rsidRDefault="00C777D2" w:rsidP="00C777D2">
            <w:pPr>
              <w:pStyle w:val="Listeafsnit"/>
              <w:numPr>
                <w:ilvl w:val="0"/>
                <w:numId w:val="1"/>
              </w:numPr>
              <w:spacing w:line="252" w:lineRule="auto"/>
              <w:rPr>
                <w:rFonts w:eastAsia="Times New Roman"/>
                <w:sz w:val="20"/>
                <w:szCs w:val="20"/>
                <w:lang w:val="en-US"/>
              </w:rPr>
            </w:pPr>
            <w:r>
              <w:rPr>
                <w:rFonts w:eastAsia="Times New Roman"/>
                <w:sz w:val="20"/>
                <w:szCs w:val="20"/>
                <w:lang w:val="en"/>
              </w:rPr>
              <w:t>Coordinating between laboratories and sections</w:t>
            </w:r>
          </w:p>
          <w:p w14:paraId="5CCA9D82" w14:textId="77777777" w:rsidR="00C777D2" w:rsidRDefault="00C777D2" w:rsidP="00C777D2">
            <w:pPr>
              <w:pStyle w:val="Listeafsnit"/>
              <w:numPr>
                <w:ilvl w:val="0"/>
                <w:numId w:val="1"/>
              </w:numPr>
              <w:spacing w:line="252" w:lineRule="auto"/>
              <w:rPr>
                <w:rFonts w:eastAsia="Times New Roman"/>
                <w:i/>
                <w:iCs/>
                <w:sz w:val="20"/>
                <w:szCs w:val="20"/>
                <w:lang w:val="en-US"/>
              </w:rPr>
            </w:pPr>
            <w:r>
              <w:rPr>
                <w:rFonts w:eastAsia="Times New Roman"/>
                <w:sz w:val="20"/>
                <w:szCs w:val="20"/>
                <w:lang w:val="en"/>
              </w:rPr>
              <w:t xml:space="preserve">Create a good and safe working environment for students, researchers, and staff. </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40968EE" w14:textId="77777777" w:rsidR="00C777D2" w:rsidRDefault="00C777D2" w:rsidP="00DD0554">
            <w:pPr>
              <w:spacing w:after="0" w:line="252" w:lineRule="auto"/>
              <w:rPr>
                <w:sz w:val="20"/>
                <w:szCs w:val="20"/>
                <w:lang w:val="en-US"/>
              </w:rPr>
            </w:pPr>
            <w:r>
              <w:rPr>
                <w:sz w:val="20"/>
                <w:szCs w:val="20"/>
                <w:lang w:val="en"/>
              </w:rPr>
              <w:t xml:space="preserve">Christian Perti (Chairman) </w:t>
            </w:r>
            <w:hyperlink r:id="rId16" w:history="1">
              <w:r>
                <w:rPr>
                  <w:rStyle w:val="Hyperlink"/>
                  <w:sz w:val="20"/>
                  <w:szCs w:val="20"/>
                  <w:lang w:val="en"/>
                </w:rPr>
                <w:t>chpe@mpe.au.dk</w:t>
              </w:r>
            </w:hyperlink>
          </w:p>
          <w:p w14:paraId="580B5118" w14:textId="77777777" w:rsidR="00C777D2" w:rsidRDefault="00C777D2" w:rsidP="00DD0554">
            <w:pPr>
              <w:spacing w:after="0" w:line="252" w:lineRule="auto"/>
              <w:rPr>
                <w:sz w:val="20"/>
                <w:szCs w:val="20"/>
              </w:rPr>
            </w:pPr>
            <w:r>
              <w:rPr>
                <w:sz w:val="20"/>
                <w:szCs w:val="20"/>
              </w:rPr>
              <w:t xml:space="preserve">Michal Kazimierz Budzik </w:t>
            </w:r>
            <w:hyperlink r:id="rId17" w:history="1">
              <w:r>
                <w:rPr>
                  <w:rStyle w:val="Hyperlink"/>
                  <w:sz w:val="20"/>
                  <w:szCs w:val="20"/>
                </w:rPr>
                <w:t>mibu@mpe.au.dk</w:t>
              </w:r>
            </w:hyperlink>
          </w:p>
          <w:p w14:paraId="4532EF5E" w14:textId="77777777" w:rsidR="00C777D2" w:rsidRDefault="00C777D2" w:rsidP="00DD0554">
            <w:pPr>
              <w:spacing w:after="0" w:line="252" w:lineRule="auto"/>
              <w:rPr>
                <w:sz w:val="20"/>
                <w:szCs w:val="20"/>
              </w:rPr>
            </w:pPr>
            <w:r>
              <w:rPr>
                <w:sz w:val="20"/>
                <w:szCs w:val="20"/>
              </w:rPr>
              <w:t xml:space="preserve">Mikkel Bo Nielsen </w:t>
            </w:r>
            <w:hyperlink r:id="rId18" w:history="1">
              <w:r>
                <w:rPr>
                  <w:rStyle w:val="Hyperlink"/>
                  <w:sz w:val="20"/>
                  <w:szCs w:val="20"/>
                </w:rPr>
                <w:t>mbn@mpe.au.dk</w:t>
              </w:r>
            </w:hyperlink>
          </w:p>
          <w:p w14:paraId="4E15C755" w14:textId="77777777" w:rsidR="00C777D2" w:rsidRDefault="00C777D2" w:rsidP="00DD0554">
            <w:pPr>
              <w:spacing w:after="0" w:line="252" w:lineRule="auto"/>
              <w:rPr>
                <w:sz w:val="20"/>
                <w:szCs w:val="20"/>
                <w:lang w:val="en-US"/>
              </w:rPr>
            </w:pPr>
            <w:r>
              <w:rPr>
                <w:sz w:val="20"/>
                <w:szCs w:val="20"/>
                <w:lang w:val="en"/>
              </w:rPr>
              <w:t xml:space="preserve">Xuping Zhang </w:t>
            </w:r>
            <w:hyperlink r:id="rId19" w:history="1">
              <w:r>
                <w:rPr>
                  <w:rStyle w:val="Hyperlink"/>
                  <w:sz w:val="20"/>
                  <w:szCs w:val="20"/>
                  <w:lang w:val="en"/>
                </w:rPr>
                <w:t>xuzh@mpe.au.dk</w:t>
              </w:r>
            </w:hyperlink>
          </w:p>
          <w:p w14:paraId="348CEE15" w14:textId="77777777" w:rsidR="00C777D2" w:rsidRDefault="00C777D2" w:rsidP="00DD0554">
            <w:pPr>
              <w:spacing w:after="0" w:line="252" w:lineRule="auto"/>
              <w:rPr>
                <w:sz w:val="20"/>
                <w:szCs w:val="20"/>
                <w:lang w:val="en-US"/>
              </w:rPr>
            </w:pPr>
            <w:r>
              <w:rPr>
                <w:sz w:val="20"/>
                <w:szCs w:val="20"/>
                <w:lang w:val="en"/>
              </w:rPr>
              <w:t xml:space="preserve">Claus Melvad </w:t>
            </w:r>
            <w:hyperlink r:id="rId20" w:history="1">
              <w:r>
                <w:rPr>
                  <w:rStyle w:val="Hyperlink"/>
                  <w:sz w:val="20"/>
                  <w:szCs w:val="20"/>
                  <w:lang w:val="en"/>
                </w:rPr>
                <w:t>cme@mpe.au.dk</w:t>
              </w:r>
            </w:hyperlink>
          </w:p>
          <w:p w14:paraId="1D966C2E" w14:textId="77777777" w:rsidR="00C777D2" w:rsidRDefault="00C777D2" w:rsidP="00DD0554">
            <w:pPr>
              <w:spacing w:after="0" w:line="252" w:lineRule="auto"/>
              <w:rPr>
                <w:sz w:val="20"/>
                <w:szCs w:val="20"/>
                <w:lang w:val="en-US"/>
              </w:rPr>
            </w:pPr>
            <w:r>
              <w:rPr>
                <w:sz w:val="20"/>
                <w:szCs w:val="20"/>
                <w:lang w:val="en"/>
              </w:rPr>
              <w:t xml:space="preserve">Thomas Greve </w:t>
            </w:r>
            <w:hyperlink r:id="rId21" w:history="1">
              <w:r>
                <w:rPr>
                  <w:rStyle w:val="Hyperlink"/>
                  <w:sz w:val="20"/>
                  <w:szCs w:val="20"/>
                  <w:lang w:val="en"/>
                </w:rPr>
                <w:t>tgr@mpe.au.dk</w:t>
              </w:r>
            </w:hyperlink>
          </w:p>
          <w:p w14:paraId="2EC0DE4E" w14:textId="77777777" w:rsidR="00C777D2" w:rsidRDefault="00C777D2" w:rsidP="00DD0554">
            <w:pPr>
              <w:spacing w:after="0" w:line="252" w:lineRule="auto"/>
              <w:rPr>
                <w:sz w:val="20"/>
                <w:szCs w:val="20"/>
                <w:lang w:val="en-US"/>
              </w:rPr>
            </w:pPr>
            <w:r>
              <w:rPr>
                <w:sz w:val="20"/>
                <w:szCs w:val="20"/>
                <w:lang w:val="en"/>
              </w:rPr>
              <w:t xml:space="preserve">Devarajan Ramanujan </w:t>
            </w:r>
            <w:hyperlink r:id="rId22" w:history="1">
              <w:r>
                <w:rPr>
                  <w:rStyle w:val="Hyperlink"/>
                  <w:sz w:val="20"/>
                  <w:szCs w:val="20"/>
                  <w:lang w:val="en"/>
                </w:rPr>
                <w:t>devr@mpe.au.dk</w:t>
              </w:r>
            </w:hyperlink>
          </w:p>
          <w:p w14:paraId="381D15A7" w14:textId="77777777" w:rsidR="00C777D2" w:rsidRDefault="00C777D2" w:rsidP="00DD0554">
            <w:pPr>
              <w:spacing w:after="0" w:line="252" w:lineRule="auto"/>
              <w:rPr>
                <w:sz w:val="20"/>
                <w:szCs w:val="20"/>
                <w:lang w:val="en-US"/>
              </w:rPr>
            </w:pPr>
            <w:r>
              <w:rPr>
                <w:sz w:val="20"/>
                <w:szCs w:val="20"/>
                <w:lang w:val="en"/>
              </w:rPr>
              <w:t xml:space="preserve">Marta Victoria </w:t>
            </w:r>
            <w:hyperlink r:id="rId23" w:history="1">
              <w:r>
                <w:rPr>
                  <w:rStyle w:val="Hyperlink"/>
                  <w:sz w:val="20"/>
                  <w:szCs w:val="20"/>
                  <w:lang w:val="en"/>
                </w:rPr>
                <w:t>mvp@mpe.au.dk</w:t>
              </w:r>
            </w:hyperlink>
          </w:p>
          <w:p w14:paraId="4ED46DCD" w14:textId="77777777" w:rsidR="00C777D2" w:rsidRDefault="00C777D2" w:rsidP="00DD0554">
            <w:pPr>
              <w:spacing w:after="0" w:line="252" w:lineRule="auto"/>
              <w:rPr>
                <w:sz w:val="20"/>
                <w:szCs w:val="20"/>
              </w:rPr>
            </w:pPr>
            <w:r>
              <w:rPr>
                <w:sz w:val="20"/>
                <w:szCs w:val="20"/>
              </w:rPr>
              <w:t xml:space="preserve">Peter Harling Lykke </w:t>
            </w:r>
            <w:hyperlink r:id="rId24" w:history="1">
              <w:r>
                <w:rPr>
                  <w:rStyle w:val="Hyperlink"/>
                  <w:sz w:val="20"/>
                  <w:szCs w:val="20"/>
                </w:rPr>
                <w:t>ply@mpe.au.dk</w:t>
              </w:r>
            </w:hyperlink>
          </w:p>
        </w:tc>
      </w:tr>
    </w:tbl>
    <w:p w14:paraId="7DF26CB2" w14:textId="77777777" w:rsidR="00C777D2" w:rsidRDefault="00C777D2" w:rsidP="00C777D2">
      <w:pPr>
        <w:pStyle w:val="xmsonormal"/>
        <w:spacing w:before="0" w:beforeAutospacing="0" w:after="0" w:afterAutospacing="0"/>
        <w:rPr>
          <w:sz w:val="20"/>
          <w:szCs w:val="20"/>
        </w:rPr>
      </w:pPr>
    </w:p>
    <w:tbl>
      <w:tblPr>
        <w:tblW w:w="0" w:type="auto"/>
        <w:tblCellMar>
          <w:left w:w="0" w:type="dxa"/>
          <w:right w:w="0" w:type="dxa"/>
        </w:tblCellMar>
        <w:tblLook w:val="04A0" w:firstRow="1" w:lastRow="0" w:firstColumn="1" w:lastColumn="0" w:noHBand="0" w:noVBand="1"/>
      </w:tblPr>
      <w:tblGrid>
        <w:gridCol w:w="2517"/>
        <w:gridCol w:w="5232"/>
        <w:gridCol w:w="3569"/>
      </w:tblGrid>
      <w:tr w:rsidR="00C777D2" w14:paraId="644C4F35" w14:textId="77777777" w:rsidTr="00DD0554">
        <w:tc>
          <w:tcPr>
            <w:tcW w:w="3116"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5840EDCF" w14:textId="77777777" w:rsidR="00C777D2" w:rsidRDefault="00C777D2" w:rsidP="00DD0554">
            <w:pPr>
              <w:pStyle w:val="xmsonormal"/>
              <w:spacing w:before="0" w:beforeAutospacing="0" w:after="0" w:afterAutospacing="0" w:line="252" w:lineRule="auto"/>
              <w:rPr>
                <w:i/>
                <w:iCs/>
                <w:sz w:val="20"/>
                <w:szCs w:val="20"/>
                <w:lang w:eastAsia="en-US"/>
              </w:rPr>
            </w:pPr>
            <w:r>
              <w:rPr>
                <w:i/>
                <w:iCs/>
                <w:sz w:val="20"/>
                <w:szCs w:val="20"/>
                <w:lang w:val="en" w:eastAsia="en-US"/>
              </w:rPr>
              <w:t>Group</w:t>
            </w:r>
          </w:p>
        </w:tc>
        <w:tc>
          <w:tcPr>
            <w:tcW w:w="6799"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4DF015DC" w14:textId="77777777" w:rsidR="00C777D2" w:rsidRDefault="00C777D2" w:rsidP="00DD0554">
            <w:pPr>
              <w:pStyle w:val="xmsonormal"/>
              <w:spacing w:before="0" w:beforeAutospacing="0" w:after="0" w:afterAutospacing="0" w:line="252" w:lineRule="auto"/>
              <w:rPr>
                <w:i/>
                <w:iCs/>
                <w:sz w:val="20"/>
                <w:szCs w:val="20"/>
                <w:lang w:eastAsia="en-US"/>
              </w:rPr>
            </w:pPr>
            <w:r>
              <w:rPr>
                <w:i/>
                <w:iCs/>
                <w:color w:val="FFFFFF"/>
                <w:sz w:val="20"/>
                <w:szCs w:val="20"/>
                <w:lang w:val="en" w:eastAsia="en-US"/>
              </w:rPr>
              <w:t>Purpose</w:t>
            </w:r>
          </w:p>
        </w:tc>
        <w:tc>
          <w:tcPr>
            <w:tcW w:w="439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0E8375D6" w14:textId="77777777" w:rsidR="00C777D2" w:rsidRDefault="00C777D2" w:rsidP="00DD0554">
            <w:pPr>
              <w:pStyle w:val="xmsonormal"/>
              <w:spacing w:before="0" w:beforeAutospacing="0" w:after="0" w:afterAutospacing="0" w:line="252" w:lineRule="auto"/>
              <w:rPr>
                <w:i/>
                <w:iCs/>
                <w:sz w:val="20"/>
                <w:szCs w:val="20"/>
                <w:lang w:eastAsia="en-US"/>
              </w:rPr>
            </w:pPr>
            <w:r>
              <w:rPr>
                <w:i/>
                <w:iCs/>
                <w:color w:val="FFFFFF"/>
                <w:sz w:val="20"/>
                <w:szCs w:val="20"/>
                <w:lang w:val="en" w:eastAsia="en-US"/>
              </w:rPr>
              <w:t>Participants</w:t>
            </w:r>
          </w:p>
        </w:tc>
      </w:tr>
      <w:tr w:rsidR="00C777D2" w14:paraId="6BD89F79" w14:textId="77777777" w:rsidTr="00DD055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7947F"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 w:eastAsia="en-US"/>
              </w:rPr>
              <w:t>Working Group on the Practical Relocation</w:t>
            </w:r>
          </w:p>
        </w:tc>
        <w:tc>
          <w:tcPr>
            <w:tcW w:w="6799" w:type="dxa"/>
            <w:tcBorders>
              <w:top w:val="nil"/>
              <w:left w:val="nil"/>
              <w:bottom w:val="single" w:sz="8" w:space="0" w:color="auto"/>
              <w:right w:val="single" w:sz="8" w:space="0" w:color="auto"/>
            </w:tcBorders>
            <w:tcMar>
              <w:top w:w="0" w:type="dxa"/>
              <w:left w:w="108" w:type="dxa"/>
              <w:bottom w:w="0" w:type="dxa"/>
              <w:right w:w="108" w:type="dxa"/>
            </w:tcMar>
            <w:hideMark/>
          </w:tcPr>
          <w:p w14:paraId="1258A9BA" w14:textId="77777777" w:rsidR="00C777D2" w:rsidRDefault="00C777D2" w:rsidP="00DD0554">
            <w:pPr>
              <w:pStyle w:val="xmsonormal"/>
              <w:spacing w:before="0" w:beforeAutospacing="0" w:after="0" w:afterAutospacing="0" w:line="252" w:lineRule="auto"/>
              <w:rPr>
                <w:i/>
                <w:iCs/>
                <w:sz w:val="20"/>
                <w:szCs w:val="20"/>
                <w:lang w:val="en-US" w:eastAsia="en-US"/>
              </w:rPr>
            </w:pPr>
            <w:r>
              <w:rPr>
                <w:sz w:val="20"/>
                <w:szCs w:val="20"/>
                <w:lang w:val="en" w:eastAsia="en-US"/>
              </w:rPr>
              <w:t xml:space="preserve">The task of the working group is to coordinate the practical relocation of offices and common areas (kitchens, printers, meeting rooms, AV equipment, etc.) A large part of the work involves communicating to all employees about how to pack and make sure that this is moved and providing useful practical information about the new buildings, </w:t>
            </w:r>
            <w:proofErr w:type="gramStart"/>
            <w:r>
              <w:rPr>
                <w:sz w:val="20"/>
                <w:szCs w:val="20"/>
                <w:lang w:val="en" w:eastAsia="en-US"/>
              </w:rPr>
              <w:t>e.g.</w:t>
            </w:r>
            <w:proofErr w:type="gramEnd"/>
            <w:r>
              <w:rPr>
                <w:sz w:val="20"/>
                <w:szCs w:val="20"/>
                <w:lang w:val="en" w:eastAsia="en-US"/>
              </w:rPr>
              <w:t xml:space="preserve"> information about accesses, addresses, mail, etc. </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E73F306"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 w:eastAsia="en-US"/>
              </w:rPr>
              <w:t xml:space="preserve">Morten Flarup (Chairman) </w:t>
            </w:r>
            <w:hyperlink r:id="rId25" w:history="1">
              <w:r>
                <w:rPr>
                  <w:rStyle w:val="Hyperlink"/>
                  <w:sz w:val="20"/>
                  <w:szCs w:val="20"/>
                  <w:lang w:val="en" w:eastAsia="en-US"/>
                </w:rPr>
                <w:t>mfa@mpe.au.dk</w:t>
              </w:r>
            </w:hyperlink>
          </w:p>
          <w:p w14:paraId="713F1EB2" w14:textId="77777777" w:rsidR="00C777D2" w:rsidRDefault="00C777D2" w:rsidP="00DD0554">
            <w:pPr>
              <w:pStyle w:val="xmsonormal"/>
              <w:spacing w:before="0" w:beforeAutospacing="0" w:after="0" w:afterAutospacing="0" w:line="252" w:lineRule="auto"/>
              <w:rPr>
                <w:sz w:val="20"/>
                <w:szCs w:val="20"/>
                <w:lang w:eastAsia="en-US"/>
              </w:rPr>
            </w:pPr>
            <w:r>
              <w:rPr>
                <w:sz w:val="20"/>
                <w:szCs w:val="20"/>
                <w:lang w:eastAsia="en-US"/>
              </w:rPr>
              <w:t xml:space="preserve">Helle Elbæk </w:t>
            </w:r>
            <w:hyperlink r:id="rId26" w:history="1">
              <w:r>
                <w:rPr>
                  <w:rStyle w:val="Hyperlink"/>
                  <w:sz w:val="20"/>
                  <w:szCs w:val="20"/>
                  <w:lang w:eastAsia="en-US"/>
                </w:rPr>
                <w:t>hea@mpe.au.dk</w:t>
              </w:r>
            </w:hyperlink>
            <w:r>
              <w:rPr>
                <w:sz w:val="20"/>
                <w:szCs w:val="20"/>
                <w:lang w:eastAsia="en-US"/>
              </w:rPr>
              <w:t xml:space="preserve"> </w:t>
            </w:r>
          </w:p>
          <w:p w14:paraId="1D8973B3" w14:textId="77777777" w:rsidR="00C777D2" w:rsidRDefault="00C777D2" w:rsidP="00DD0554">
            <w:pPr>
              <w:pStyle w:val="xmsonormal"/>
              <w:spacing w:before="0" w:beforeAutospacing="0" w:after="0" w:afterAutospacing="0" w:line="252" w:lineRule="auto"/>
              <w:rPr>
                <w:sz w:val="20"/>
                <w:szCs w:val="20"/>
                <w:lang w:eastAsia="en-US"/>
              </w:rPr>
            </w:pPr>
            <w:r>
              <w:rPr>
                <w:sz w:val="20"/>
                <w:szCs w:val="20"/>
                <w:lang w:eastAsia="en-US"/>
              </w:rPr>
              <w:t xml:space="preserve">Jon Søby </w:t>
            </w:r>
            <w:hyperlink r:id="rId27" w:history="1">
              <w:r>
                <w:rPr>
                  <w:rStyle w:val="Hyperlink"/>
                  <w:sz w:val="20"/>
                  <w:szCs w:val="20"/>
                  <w:lang w:eastAsia="en-US"/>
                </w:rPr>
                <w:t>joso@mpe.au.dk</w:t>
              </w:r>
            </w:hyperlink>
          </w:p>
          <w:p w14:paraId="3D285632"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 w:eastAsia="en-US"/>
              </w:rPr>
              <w:t xml:space="preserve">Karina Lund </w:t>
            </w:r>
            <w:hyperlink r:id="rId28" w:history="1">
              <w:r>
                <w:rPr>
                  <w:rStyle w:val="Hyperlink"/>
                  <w:sz w:val="20"/>
                  <w:szCs w:val="20"/>
                  <w:lang w:val="en" w:eastAsia="en-US"/>
                </w:rPr>
                <w:t>kalu@mpe.au.dk</w:t>
              </w:r>
            </w:hyperlink>
          </w:p>
          <w:p w14:paraId="4F7F9088"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 w:eastAsia="en-US"/>
              </w:rPr>
              <w:t xml:space="preserve">Lily Pham </w:t>
            </w:r>
            <w:hyperlink r:id="rId29" w:history="1">
              <w:r>
                <w:rPr>
                  <w:rStyle w:val="Hyperlink"/>
                  <w:sz w:val="20"/>
                  <w:szCs w:val="20"/>
                  <w:lang w:val="en" w:eastAsia="en-US"/>
                </w:rPr>
                <w:t>lily.pham@au.dk</w:t>
              </w:r>
            </w:hyperlink>
          </w:p>
        </w:tc>
      </w:tr>
    </w:tbl>
    <w:p w14:paraId="706ADEA3" w14:textId="77777777" w:rsidR="00C777D2" w:rsidRDefault="00C777D2" w:rsidP="00C777D2">
      <w:pPr>
        <w:pStyle w:val="xmsonormal"/>
        <w:spacing w:before="0" w:beforeAutospacing="0" w:after="0" w:afterAutospacing="0"/>
        <w:rPr>
          <w:sz w:val="20"/>
          <w:szCs w:val="20"/>
          <w:lang w:val="en-US"/>
        </w:rPr>
      </w:pPr>
    </w:p>
    <w:tbl>
      <w:tblPr>
        <w:tblW w:w="0" w:type="auto"/>
        <w:tblCellMar>
          <w:left w:w="0" w:type="dxa"/>
          <w:right w:w="0" w:type="dxa"/>
        </w:tblCellMar>
        <w:tblLook w:val="04A0" w:firstRow="1" w:lastRow="0" w:firstColumn="1" w:lastColumn="0" w:noHBand="0" w:noVBand="1"/>
      </w:tblPr>
      <w:tblGrid>
        <w:gridCol w:w="2520"/>
        <w:gridCol w:w="5138"/>
        <w:gridCol w:w="3660"/>
      </w:tblGrid>
      <w:tr w:rsidR="00C777D2" w14:paraId="290A1CF6" w14:textId="77777777" w:rsidTr="00DD0554">
        <w:tc>
          <w:tcPr>
            <w:tcW w:w="3116"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4EEC12D1" w14:textId="77777777" w:rsidR="00C777D2" w:rsidRDefault="00C777D2" w:rsidP="00DD0554">
            <w:pPr>
              <w:pStyle w:val="xmsonormal"/>
              <w:spacing w:before="0" w:beforeAutospacing="0" w:after="0" w:afterAutospacing="0" w:line="252" w:lineRule="auto"/>
              <w:rPr>
                <w:i/>
                <w:iCs/>
                <w:sz w:val="20"/>
                <w:szCs w:val="20"/>
                <w:lang w:eastAsia="en-US"/>
              </w:rPr>
            </w:pPr>
            <w:r>
              <w:rPr>
                <w:i/>
                <w:iCs/>
                <w:sz w:val="20"/>
                <w:szCs w:val="20"/>
                <w:lang w:val="en" w:eastAsia="en-US"/>
              </w:rPr>
              <w:t>Group</w:t>
            </w:r>
          </w:p>
        </w:tc>
        <w:tc>
          <w:tcPr>
            <w:tcW w:w="6799"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519AC2A7" w14:textId="77777777" w:rsidR="00C777D2" w:rsidRDefault="00C777D2" w:rsidP="00DD0554">
            <w:pPr>
              <w:pStyle w:val="xmsonormal"/>
              <w:spacing w:before="0" w:beforeAutospacing="0" w:after="0" w:afterAutospacing="0" w:line="252" w:lineRule="auto"/>
              <w:rPr>
                <w:i/>
                <w:iCs/>
                <w:sz w:val="20"/>
                <w:szCs w:val="20"/>
                <w:lang w:eastAsia="en-US"/>
              </w:rPr>
            </w:pPr>
            <w:r>
              <w:rPr>
                <w:i/>
                <w:iCs/>
                <w:color w:val="FFFFFF"/>
                <w:sz w:val="20"/>
                <w:szCs w:val="20"/>
                <w:lang w:val="en" w:eastAsia="en-US"/>
              </w:rPr>
              <w:t>Purpose</w:t>
            </w:r>
          </w:p>
        </w:tc>
        <w:tc>
          <w:tcPr>
            <w:tcW w:w="439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392A5BA2" w14:textId="77777777" w:rsidR="00C777D2" w:rsidRDefault="00C777D2" w:rsidP="00DD0554">
            <w:pPr>
              <w:pStyle w:val="xmsonormal"/>
              <w:spacing w:before="0" w:beforeAutospacing="0" w:after="0" w:afterAutospacing="0" w:line="252" w:lineRule="auto"/>
              <w:rPr>
                <w:i/>
                <w:iCs/>
                <w:sz w:val="20"/>
                <w:szCs w:val="20"/>
                <w:lang w:eastAsia="en-US"/>
              </w:rPr>
            </w:pPr>
            <w:r>
              <w:rPr>
                <w:i/>
                <w:iCs/>
                <w:color w:val="FFFFFF"/>
                <w:sz w:val="20"/>
                <w:szCs w:val="20"/>
                <w:lang w:val="en" w:eastAsia="en-US"/>
              </w:rPr>
              <w:t>Participants</w:t>
            </w:r>
          </w:p>
        </w:tc>
      </w:tr>
      <w:tr w:rsidR="00C777D2" w:rsidRPr="00356DF6" w14:paraId="71D28D91" w14:textId="77777777" w:rsidTr="00DD0554">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05CB4F" w14:textId="77777777" w:rsidR="00C777D2" w:rsidRDefault="00C777D2" w:rsidP="00DD0554">
            <w:pPr>
              <w:pStyle w:val="xmsonormal"/>
              <w:spacing w:before="0" w:beforeAutospacing="0" w:after="0" w:afterAutospacing="0" w:line="252" w:lineRule="auto"/>
              <w:rPr>
                <w:sz w:val="20"/>
                <w:szCs w:val="20"/>
                <w:lang w:val="en-US" w:eastAsia="en-US"/>
              </w:rPr>
            </w:pPr>
            <w:r>
              <w:rPr>
                <w:sz w:val="20"/>
                <w:szCs w:val="20"/>
                <w:lang w:val="en" w:eastAsia="en-US"/>
              </w:rPr>
              <w:t>Working Group for the Physical Framework</w:t>
            </w:r>
          </w:p>
        </w:tc>
        <w:tc>
          <w:tcPr>
            <w:tcW w:w="6799" w:type="dxa"/>
            <w:tcBorders>
              <w:top w:val="nil"/>
              <w:left w:val="nil"/>
              <w:bottom w:val="single" w:sz="8" w:space="0" w:color="auto"/>
              <w:right w:val="single" w:sz="8" w:space="0" w:color="auto"/>
            </w:tcBorders>
            <w:tcMar>
              <w:top w:w="0" w:type="dxa"/>
              <w:left w:w="108" w:type="dxa"/>
              <w:bottom w:w="0" w:type="dxa"/>
              <w:right w:w="108" w:type="dxa"/>
            </w:tcMar>
            <w:hideMark/>
          </w:tcPr>
          <w:p w14:paraId="6D55432E" w14:textId="77777777" w:rsidR="00C777D2" w:rsidRDefault="00C777D2" w:rsidP="00DD0554">
            <w:pPr>
              <w:pStyle w:val="xmsonormal"/>
              <w:spacing w:before="0" w:beforeAutospacing="0" w:after="0" w:afterAutospacing="0" w:line="252" w:lineRule="auto"/>
              <w:rPr>
                <w:i/>
                <w:iCs/>
                <w:sz w:val="20"/>
                <w:szCs w:val="20"/>
                <w:lang w:val="en-US" w:eastAsia="en-US"/>
              </w:rPr>
            </w:pPr>
            <w:r>
              <w:rPr>
                <w:sz w:val="20"/>
                <w:szCs w:val="20"/>
                <w:lang w:val="en" w:eastAsia="en-US"/>
              </w:rPr>
              <w:t xml:space="preserve">The purpose of the working group is to receive and discuss inquiries from the employees about matters related to the physical surroundings at </w:t>
            </w:r>
            <w:proofErr w:type="spellStart"/>
            <w:r>
              <w:rPr>
                <w:sz w:val="20"/>
                <w:szCs w:val="20"/>
                <w:lang w:val="en" w:eastAsia="en-US"/>
              </w:rPr>
              <w:t>Katrinebjerg</w:t>
            </w:r>
            <w:proofErr w:type="spellEnd"/>
            <w:r>
              <w:rPr>
                <w:sz w:val="20"/>
                <w:szCs w:val="20"/>
                <w:lang w:val="en" w:eastAsia="en-US"/>
              </w:rPr>
              <w:t xml:space="preserve"> and Navitas. The working group takes up cases such as deficiencies in the renovation, deficiencies in the offices or in the common areas, or requests for purchases. The working group discusses proposed solutions and can obtain offers/prices, after which the chairman lifts it up in the steering committee which has the decision-making power. Employees at all locations are encouraged to send an email to </w:t>
            </w:r>
            <w:hyperlink r:id="rId30" w:history="1">
              <w:r>
                <w:rPr>
                  <w:rStyle w:val="Hyperlink"/>
                  <w:sz w:val="20"/>
                  <w:szCs w:val="20"/>
                  <w:lang w:val="en" w:eastAsia="en-US"/>
                </w:rPr>
                <w:t>mpe@au.dk</w:t>
              </w:r>
            </w:hyperlink>
            <w:r>
              <w:rPr>
                <w:sz w:val="20"/>
                <w:szCs w:val="20"/>
                <w:lang w:val="en" w:eastAsia="en-US"/>
              </w:rPr>
              <w:t xml:space="preserve">, after which the inquiry will be forwarded to the working group. </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AFF1F5D" w14:textId="77777777" w:rsidR="00C777D2" w:rsidRPr="00133D74" w:rsidRDefault="00C777D2" w:rsidP="00DD0554">
            <w:pPr>
              <w:pStyle w:val="xmsonormal"/>
              <w:spacing w:before="0" w:beforeAutospacing="0" w:after="0" w:afterAutospacing="0"/>
              <w:rPr>
                <w:sz w:val="20"/>
                <w:szCs w:val="20"/>
                <w:lang w:val="en-US"/>
              </w:rPr>
            </w:pPr>
            <w:r w:rsidRPr="00133D74">
              <w:rPr>
                <w:sz w:val="20"/>
                <w:szCs w:val="20"/>
                <w:lang w:val="en-US"/>
              </w:rPr>
              <w:t>Ahmad Madary (</w:t>
            </w:r>
            <w:proofErr w:type="spellStart"/>
            <w:r w:rsidRPr="00133D74">
              <w:rPr>
                <w:sz w:val="20"/>
                <w:szCs w:val="20"/>
                <w:lang w:val="en-US"/>
              </w:rPr>
              <w:t>formand</w:t>
            </w:r>
            <w:proofErr w:type="spellEnd"/>
            <w:r w:rsidRPr="00133D74">
              <w:rPr>
                <w:sz w:val="20"/>
                <w:szCs w:val="20"/>
                <w:lang w:val="en-US"/>
              </w:rPr>
              <w:t>)</w:t>
            </w:r>
            <w:r>
              <w:rPr>
                <w:sz w:val="20"/>
                <w:szCs w:val="20"/>
                <w:lang w:val="en-US"/>
              </w:rPr>
              <w:t xml:space="preserve"> </w:t>
            </w:r>
            <w:hyperlink r:id="rId31" w:history="1">
              <w:r w:rsidRPr="00364108">
                <w:rPr>
                  <w:rStyle w:val="Hyperlink"/>
                  <w:sz w:val="20"/>
                  <w:szCs w:val="20"/>
                  <w:lang w:val="en-US"/>
                </w:rPr>
                <w:t>amadary@mpe.au.dk</w:t>
              </w:r>
            </w:hyperlink>
            <w:r>
              <w:rPr>
                <w:sz w:val="20"/>
                <w:szCs w:val="20"/>
                <w:lang w:val="en-US"/>
              </w:rPr>
              <w:t xml:space="preserve"> </w:t>
            </w:r>
          </w:p>
          <w:p w14:paraId="2863231B" w14:textId="77777777" w:rsidR="00C777D2" w:rsidRPr="00133D74" w:rsidRDefault="00C777D2" w:rsidP="00DD0554">
            <w:pPr>
              <w:pStyle w:val="xmsonormal"/>
              <w:spacing w:before="0" w:beforeAutospacing="0" w:after="0" w:afterAutospacing="0"/>
              <w:rPr>
                <w:sz w:val="20"/>
                <w:szCs w:val="20"/>
              </w:rPr>
            </w:pPr>
            <w:r w:rsidRPr="00133D74">
              <w:rPr>
                <w:sz w:val="20"/>
                <w:szCs w:val="20"/>
              </w:rPr>
              <w:t xml:space="preserve">Emma Bonde Stanek </w:t>
            </w:r>
            <w:hyperlink r:id="rId32" w:history="1">
              <w:r w:rsidRPr="00364108">
                <w:rPr>
                  <w:rStyle w:val="Hyperlink"/>
                  <w:sz w:val="20"/>
                  <w:szCs w:val="20"/>
                </w:rPr>
                <w:t>ebs@mpe.au.dk</w:t>
              </w:r>
            </w:hyperlink>
            <w:r>
              <w:rPr>
                <w:sz w:val="20"/>
                <w:szCs w:val="20"/>
              </w:rPr>
              <w:t xml:space="preserve"> </w:t>
            </w:r>
            <w:r w:rsidRPr="00133D74">
              <w:rPr>
                <w:sz w:val="20"/>
                <w:szCs w:val="20"/>
              </w:rPr>
              <w:t xml:space="preserve">  </w:t>
            </w:r>
          </w:p>
          <w:p w14:paraId="7E468112" w14:textId="77777777" w:rsidR="00C777D2" w:rsidRPr="00356DF6" w:rsidRDefault="00C777D2" w:rsidP="00DD0554">
            <w:pPr>
              <w:pStyle w:val="xmsonormal"/>
              <w:spacing w:before="0" w:beforeAutospacing="0" w:after="0" w:afterAutospacing="0" w:line="252" w:lineRule="auto"/>
              <w:rPr>
                <w:i/>
                <w:iCs/>
                <w:sz w:val="20"/>
                <w:szCs w:val="20"/>
                <w:lang w:eastAsia="en-US"/>
              </w:rPr>
            </w:pPr>
            <w:r w:rsidRPr="00133D74">
              <w:rPr>
                <w:sz w:val="20"/>
                <w:szCs w:val="20"/>
              </w:rPr>
              <w:t>Mikkel Melters</w:t>
            </w:r>
            <w:r>
              <w:rPr>
                <w:sz w:val="20"/>
                <w:szCs w:val="20"/>
              </w:rPr>
              <w:t xml:space="preserve"> </w:t>
            </w:r>
            <w:hyperlink r:id="rId33" w:history="1">
              <w:r w:rsidRPr="00364108">
                <w:rPr>
                  <w:rStyle w:val="Hyperlink"/>
                  <w:sz w:val="20"/>
                  <w:szCs w:val="20"/>
                </w:rPr>
                <w:t>mmp@mpe.au.dk</w:t>
              </w:r>
            </w:hyperlink>
            <w:r w:rsidRPr="00356DF6">
              <w:rPr>
                <w:sz w:val="20"/>
                <w:szCs w:val="20"/>
                <w:lang w:eastAsia="en-US"/>
              </w:rPr>
              <w:t xml:space="preserve">. </w:t>
            </w:r>
          </w:p>
        </w:tc>
      </w:tr>
    </w:tbl>
    <w:p w14:paraId="2A5558D8" w14:textId="17D5D81D" w:rsidR="00C777D2" w:rsidRPr="00C777D2" w:rsidRDefault="00C777D2" w:rsidP="00C777D2">
      <w:pPr>
        <w:tabs>
          <w:tab w:val="left" w:pos="9112"/>
        </w:tabs>
      </w:pPr>
    </w:p>
    <w:sectPr w:rsidR="00C777D2" w:rsidRPr="00C777D2" w:rsidSect="00C777D2">
      <w:pgSz w:w="11906" w:h="16838"/>
      <w:pgMar w:top="284" w:right="284" w:bottom="232"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287E"/>
    <w:multiLevelType w:val="hybridMultilevel"/>
    <w:tmpl w:val="21201150"/>
    <w:lvl w:ilvl="0" w:tplc="040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7D2"/>
    <w:rsid w:val="00033293"/>
    <w:rsid w:val="00737B7D"/>
    <w:rsid w:val="00C777D2"/>
    <w:rsid w:val="00E60E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2490"/>
  <w15:chartTrackingRefBased/>
  <w15:docId w15:val="{56C1564A-F6DA-406E-B8B3-2461FF85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7D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777D2"/>
    <w:rPr>
      <w:color w:val="0563C1"/>
      <w:u w:val="single"/>
    </w:rPr>
  </w:style>
  <w:style w:type="paragraph" w:styleId="Listeafsnit">
    <w:name w:val="List Paragraph"/>
    <w:basedOn w:val="Normal"/>
    <w:uiPriority w:val="34"/>
    <w:qFormat/>
    <w:rsid w:val="00C777D2"/>
    <w:pPr>
      <w:spacing w:after="0" w:line="240" w:lineRule="auto"/>
      <w:ind w:left="720"/>
    </w:pPr>
    <w:rPr>
      <w:rFonts w:ascii="Calibri" w:hAnsi="Calibri" w:cs="Calibri"/>
    </w:rPr>
  </w:style>
  <w:style w:type="paragraph" w:customStyle="1" w:styleId="xmsonormal">
    <w:name w:val="x_msonormal"/>
    <w:basedOn w:val="Normal"/>
    <w:rsid w:val="00C777D2"/>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ly.pham@au.dk" TargetMode="External"/><Relationship Id="rId18" Type="http://schemas.openxmlformats.org/officeDocument/2006/relationships/hyperlink" Target="mailto:mbn@mpe.au.dk" TargetMode="External"/><Relationship Id="rId26" Type="http://schemas.openxmlformats.org/officeDocument/2006/relationships/hyperlink" Target="mailto:hea@mpe.au.dk" TargetMode="External"/><Relationship Id="rId3" Type="http://schemas.openxmlformats.org/officeDocument/2006/relationships/settings" Target="settings.xml"/><Relationship Id="rId21" Type="http://schemas.openxmlformats.org/officeDocument/2006/relationships/hyperlink" Target="mailto:tgr@mpe.au.dk" TargetMode="External"/><Relationship Id="rId34" Type="http://schemas.openxmlformats.org/officeDocument/2006/relationships/fontTable" Target="fontTable.xml"/><Relationship Id="rId7" Type="http://schemas.openxmlformats.org/officeDocument/2006/relationships/hyperlink" Target="mailto:lb@mpe.au.dk" TargetMode="External"/><Relationship Id="rId12" Type="http://schemas.openxmlformats.org/officeDocument/2006/relationships/hyperlink" Target="mailto:mfa@mpe.au.dk" TargetMode="External"/><Relationship Id="rId17" Type="http://schemas.openxmlformats.org/officeDocument/2006/relationships/hyperlink" Target="mailto:mibu@mpe.au.dk" TargetMode="External"/><Relationship Id="rId25" Type="http://schemas.openxmlformats.org/officeDocument/2006/relationships/hyperlink" Target="mailto:mfa@mpe.au.dk" TargetMode="External"/><Relationship Id="rId33" Type="http://schemas.openxmlformats.org/officeDocument/2006/relationships/hyperlink" Target="mailto:mmp@mpe.au.dk" TargetMode="External"/><Relationship Id="rId2" Type="http://schemas.openxmlformats.org/officeDocument/2006/relationships/styles" Target="styles.xml"/><Relationship Id="rId16" Type="http://schemas.openxmlformats.org/officeDocument/2006/relationships/hyperlink" Target="mailto:chpe@mpe.au.dk" TargetMode="External"/><Relationship Id="rId20" Type="http://schemas.openxmlformats.org/officeDocument/2006/relationships/hyperlink" Target="mailto:cme@mpe.au.dk" TargetMode="External"/><Relationship Id="rId29" Type="http://schemas.openxmlformats.org/officeDocument/2006/relationships/hyperlink" Target="mailto:lily.pham@au.dk" TargetMode="External"/><Relationship Id="rId1" Type="http://schemas.openxmlformats.org/officeDocument/2006/relationships/numbering" Target="numbering.xml"/><Relationship Id="rId6" Type="http://schemas.openxmlformats.org/officeDocument/2006/relationships/hyperlink" Target="mailto:hwi@mpe.au.dk" TargetMode="External"/><Relationship Id="rId11" Type="http://schemas.openxmlformats.org/officeDocument/2006/relationships/hyperlink" Target="mailto:hmj@mpe.au.dk" TargetMode="External"/><Relationship Id="rId24" Type="http://schemas.openxmlformats.org/officeDocument/2006/relationships/hyperlink" Target="mailto:ply@mpe.au.dk" TargetMode="External"/><Relationship Id="rId32" Type="http://schemas.openxmlformats.org/officeDocument/2006/relationships/hyperlink" Target="mailto:ebs@mpe.au.dk" TargetMode="External"/><Relationship Id="rId5" Type="http://schemas.openxmlformats.org/officeDocument/2006/relationships/hyperlink" Target="mailto:abra@mpe.au.dk" TargetMode="External"/><Relationship Id="rId15" Type="http://schemas.openxmlformats.org/officeDocument/2006/relationships/hyperlink" Target="mailto:cmu@mpe.au.dk" TargetMode="External"/><Relationship Id="rId23" Type="http://schemas.openxmlformats.org/officeDocument/2006/relationships/hyperlink" Target="mailto:mvp@mpe.au.dk" TargetMode="External"/><Relationship Id="rId28" Type="http://schemas.openxmlformats.org/officeDocument/2006/relationships/hyperlink" Target="mailto:kalu@mpe.au.dk" TargetMode="External"/><Relationship Id="rId10" Type="http://schemas.openxmlformats.org/officeDocument/2006/relationships/hyperlink" Target="mailto:ply@mpe.au.dk" TargetMode="External"/><Relationship Id="rId19" Type="http://schemas.openxmlformats.org/officeDocument/2006/relationships/hyperlink" Target="mailto:xuzh@mpe.au.dk" TargetMode="External"/><Relationship Id="rId31" Type="http://schemas.openxmlformats.org/officeDocument/2006/relationships/hyperlink" Target="mailto:amadary@mpe.au.dk" TargetMode="External"/><Relationship Id="rId4" Type="http://schemas.openxmlformats.org/officeDocument/2006/relationships/webSettings" Target="webSettings.xml"/><Relationship Id="rId9" Type="http://schemas.openxmlformats.org/officeDocument/2006/relationships/hyperlink" Target="mailto:chpe@mpe.au.dk" TargetMode="External"/><Relationship Id="rId14" Type="http://schemas.openxmlformats.org/officeDocument/2006/relationships/hyperlink" Target="mailto:lb@mpe.au.dk" TargetMode="External"/><Relationship Id="rId22" Type="http://schemas.openxmlformats.org/officeDocument/2006/relationships/hyperlink" Target="mailto:devr@mpe.au.dk" TargetMode="External"/><Relationship Id="rId27" Type="http://schemas.openxmlformats.org/officeDocument/2006/relationships/hyperlink" Target="mailto:joso@mpe.au.dk" TargetMode="External"/><Relationship Id="rId30" Type="http://schemas.openxmlformats.org/officeDocument/2006/relationships/hyperlink" Target="mailto:mpe@au.dk" TargetMode="External"/><Relationship Id="rId35" Type="http://schemas.openxmlformats.org/officeDocument/2006/relationships/theme" Target="theme/theme1.xml"/><Relationship Id="rId8" Type="http://schemas.openxmlformats.org/officeDocument/2006/relationships/hyperlink" Target="mailto:cmu@mpe.au.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3833</Characters>
  <Application>Microsoft Office Word</Application>
  <DocSecurity>0</DocSecurity>
  <Lines>31</Lines>
  <Paragraphs>8</Paragraphs>
  <ScaleCrop>false</ScaleCrop>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Skovgaard Lund</dc:creator>
  <cp:keywords/>
  <dc:description/>
  <cp:lastModifiedBy>Karina Skovgaard Lund</cp:lastModifiedBy>
  <cp:revision>2</cp:revision>
  <dcterms:created xsi:type="dcterms:W3CDTF">2022-06-23T12:04:00Z</dcterms:created>
  <dcterms:modified xsi:type="dcterms:W3CDTF">2022-06-23T12:04:00Z</dcterms:modified>
</cp:coreProperties>
</file>